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rPr>
      </w:pPr>
    </w:p>
    <w:p>
      <w:pPr>
        <w:jc w:val="center"/>
        <w:rPr>
          <w:rFonts w:hint="eastAsia" w:ascii="黑体" w:hAnsi="黑体" w:eastAsia="黑体" w:cs="黑体"/>
          <w:sz w:val="36"/>
          <w:szCs w:val="36"/>
        </w:rPr>
      </w:pPr>
      <w:r>
        <w:rPr>
          <w:rFonts w:hint="eastAsia" w:ascii="黑体" w:hAnsi="黑体" w:eastAsia="黑体" w:cs="黑体"/>
          <w:sz w:val="36"/>
          <w:szCs w:val="36"/>
        </w:rPr>
        <w:t>中联重科集团财务有限公司202</w:t>
      </w:r>
      <w:r>
        <w:rPr>
          <w:rFonts w:hint="eastAsia" w:ascii="黑体" w:hAnsi="黑体" w:eastAsia="黑体" w:cs="黑体"/>
          <w:sz w:val="36"/>
          <w:szCs w:val="36"/>
          <w:lang w:val="en-US" w:eastAsia="zh-CN"/>
        </w:rPr>
        <w:t>4</w:t>
      </w:r>
      <w:r>
        <w:rPr>
          <w:rFonts w:hint="eastAsia" w:ascii="黑体" w:hAnsi="黑体" w:eastAsia="黑体" w:cs="黑体"/>
          <w:sz w:val="36"/>
          <w:szCs w:val="36"/>
        </w:rPr>
        <w:t>年第一季度第三支柱信息披露报告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公司适用第二档非上市银行信息披露及其过渡期要求，根据《商业银行资本管理办法》（以下简称“办法”）附件22《商业银行信息披露内容和要求》、国家金融监督管理总局关于实施《商业银行资本管理办法》相关事项的通知（金规[2023]9号，以下简称“通知”）的规定，公司披露2024年第一季度第三支柱信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2024年第一季度公司需披露报表如下：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KMI监管并表关键审慎监管指标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单位：人民币万元</w:t>
      </w:r>
    </w:p>
    <w:tbl>
      <w:tblPr>
        <w:tblStyle w:val="2"/>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4371"/>
        <w:gridCol w:w="1756"/>
        <w:gridCol w:w="175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3143" w:type="pct"/>
            <w:gridSpan w:val="2"/>
            <w:tcBorders>
              <w:lef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项目</w:t>
            </w:r>
          </w:p>
        </w:tc>
        <w:tc>
          <w:tcPr>
            <w:tcW w:w="928" w:type="pct"/>
            <w:tcBorders>
              <w:right w:val="single" w:color="auto" w:sz="4" w:space="0"/>
            </w:tcBorders>
            <w:vAlign w:val="center"/>
          </w:tcPr>
          <w:p>
            <w:pPr>
              <w:snapToGrid w:val="0"/>
              <w:spacing w:line="480" w:lineRule="exact"/>
              <w:jc w:val="center"/>
              <w:rPr>
                <w:rFonts w:hint="default"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2024年3月31日</w:t>
            </w:r>
          </w:p>
        </w:tc>
        <w:tc>
          <w:tcPr>
            <w:tcW w:w="928" w:type="pct"/>
            <w:tcBorders>
              <w:right w:val="single" w:color="auto" w:sz="4" w:space="0"/>
            </w:tcBorders>
            <w:vAlign w:val="center"/>
          </w:tcPr>
          <w:p>
            <w:pPr>
              <w:snapToGrid w:val="0"/>
              <w:spacing w:line="480" w:lineRule="exact"/>
              <w:jc w:val="center"/>
              <w:rPr>
                <w:rFonts w:hint="default"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2023年12月31日</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核心一级资本净额</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228973.65</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225192.86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2</w:t>
            </w:r>
          </w:p>
        </w:tc>
        <w:tc>
          <w:tcPr>
            <w:tcW w:w="2769" w:type="pct"/>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14:textFill>
                  <w14:solidFill>
                    <w14:schemeClr w14:val="tx1"/>
                  </w14:solidFill>
                </w14:textFill>
              </w:rPr>
              <w:t>一级资本</w:t>
            </w:r>
            <w:r>
              <w:rPr>
                <w:rFonts w:hint="eastAsia" w:ascii="仿宋_GB2312" w:hAnsi="仿宋" w:eastAsia="仿宋_GB2312" w:cs="Arial Unicode MS"/>
                <w:color w:val="000000" w:themeColor="text1"/>
                <w:sz w:val="28"/>
                <w:szCs w:val="28"/>
                <w:lang w:eastAsia="zh-CN"/>
                <w14:textFill>
                  <w14:solidFill>
                    <w14:schemeClr w14:val="tx1"/>
                  </w14:solidFill>
                </w14:textFill>
              </w:rPr>
              <w:t>净额</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228973.65</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225192.86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3</w:t>
            </w:r>
          </w:p>
        </w:tc>
        <w:tc>
          <w:tcPr>
            <w:tcW w:w="2769" w:type="pct"/>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14:textFill>
                  <w14:solidFill>
                    <w14:schemeClr w14:val="tx1"/>
                  </w14:solidFill>
                </w14:textFill>
              </w:rPr>
              <w:t>资本</w:t>
            </w:r>
            <w:r>
              <w:rPr>
                <w:rFonts w:hint="eastAsia" w:ascii="仿宋_GB2312" w:hAnsi="仿宋" w:eastAsia="仿宋_GB2312" w:cs="Arial Unicode MS"/>
                <w:color w:val="000000" w:themeColor="text1"/>
                <w:sz w:val="28"/>
                <w:szCs w:val="28"/>
                <w:lang w:eastAsia="zh-CN"/>
                <w14:textFill>
                  <w14:solidFill>
                    <w14:schemeClr w14:val="tx1"/>
                  </w14:solidFill>
                </w14:textFill>
              </w:rPr>
              <w:t>净额</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235372.03</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234533.87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4</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风险加权资产</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539814.26</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778166.98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5</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核心一级资本充足率（</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42.42%</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28.94%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6</w:t>
            </w:r>
          </w:p>
        </w:tc>
        <w:tc>
          <w:tcPr>
            <w:tcW w:w="2769" w:type="pct"/>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14:textFill>
                  <w14:solidFill>
                    <w14:schemeClr w14:val="tx1"/>
                  </w14:solidFill>
                </w14:textFill>
              </w:rPr>
              <w:t>一级资本充足率（</w:t>
            </w:r>
            <w:r>
              <w:rPr>
                <w:rFonts w:ascii="仿宋_GB2312" w:hAnsi="仿宋" w:eastAsia="仿宋_GB2312" w:cs="Arial Unicode MS"/>
                <w:color w:val="000000" w:themeColor="text1"/>
                <w:sz w:val="28"/>
                <w:szCs w:val="28"/>
                <w14:textFill>
                  <w14:solidFill>
                    <w14:schemeClr w14:val="tx1"/>
                  </w14:solidFill>
                </w14:textFill>
              </w:rPr>
              <w:t>%）</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42.42%</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28.94%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7</w:t>
            </w:r>
          </w:p>
        </w:tc>
        <w:tc>
          <w:tcPr>
            <w:tcW w:w="2769" w:type="pct"/>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14:textFill>
                  <w14:solidFill>
                    <w14:schemeClr w14:val="tx1"/>
                  </w14:solidFill>
                </w14:textFill>
              </w:rPr>
              <w:t>资本充足率（</w:t>
            </w:r>
            <w:r>
              <w:rPr>
                <w:rFonts w:ascii="仿宋_GB2312" w:hAnsi="仿宋" w:eastAsia="仿宋_GB2312" w:cs="Arial Unicode MS"/>
                <w:color w:val="000000" w:themeColor="text1"/>
                <w:sz w:val="28"/>
                <w:szCs w:val="28"/>
                <w14:textFill>
                  <w14:solidFill>
                    <w14:schemeClr w14:val="tx1"/>
                  </w14:solidFill>
                </w14:textFill>
              </w:rPr>
              <w:t>%）</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43.60%</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30.14%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8</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储备资本要求</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2.50%</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9</w:t>
            </w:r>
          </w:p>
        </w:tc>
        <w:tc>
          <w:tcPr>
            <w:tcW w:w="2769" w:type="pct"/>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14:textFill>
                  <w14:solidFill>
                    <w14:schemeClr w14:val="tx1"/>
                  </w14:solidFill>
                </w14:textFill>
              </w:rPr>
              <w:t>逆周期资本要求（</w:t>
            </w:r>
            <w:r>
              <w:rPr>
                <w:rFonts w:ascii="仿宋_GB2312" w:hAnsi="仿宋" w:eastAsia="仿宋_GB2312" w:cs="Arial Unicode MS"/>
                <w:color w:val="000000" w:themeColor="text1"/>
                <w:sz w:val="28"/>
                <w:szCs w:val="28"/>
                <w14:textFill>
                  <w14:solidFill>
                    <w14:schemeClr w14:val="tx1"/>
                  </w14:solidFill>
                </w14:textFill>
              </w:rPr>
              <w:t>%）</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0</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73" w:type="pct"/>
            <w:tcBorders>
              <w:left w:val="single" w:color="auto" w:sz="4" w:space="0"/>
            </w:tcBorders>
            <w:shd w:val="clear" w:color="auto" w:fill="auto"/>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10</w:t>
            </w:r>
          </w:p>
        </w:tc>
        <w:tc>
          <w:tcPr>
            <w:tcW w:w="2769" w:type="pct"/>
            <w:shd w:val="clear" w:color="auto" w:fill="auto"/>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全球系统重要性银行或国内系统重要性银行附加资本要求（</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928" w:type="pct"/>
            <w:tcBorders>
              <w:right w:val="single" w:color="auto" w:sz="4" w:space="0"/>
            </w:tcBorders>
            <w:shd w:val="clear" w:color="auto" w:fill="BEBEBE"/>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p>
        </w:tc>
        <w:tc>
          <w:tcPr>
            <w:tcW w:w="928" w:type="pct"/>
            <w:tcBorders>
              <w:right w:val="single" w:color="auto" w:sz="4" w:space="0"/>
            </w:tcBorders>
            <w:shd w:val="clear" w:color="auto" w:fill="BEBEBE"/>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11</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其他各级资本要求（</w:t>
            </w:r>
            <w:r>
              <w:rPr>
                <w:rFonts w:ascii="仿宋_GB2312" w:hAnsi="仿宋" w:eastAsia="仿宋_GB2312" w:cs="Arial Unicode MS"/>
                <w:color w:val="000000" w:themeColor="text1"/>
                <w:sz w:val="28"/>
                <w:szCs w:val="28"/>
                <w:lang w:eastAsia="zh-CN"/>
                <w14:textFill>
                  <w14:solidFill>
                    <w14:schemeClr w14:val="tx1"/>
                  </w14:solidFill>
                </w14:textFill>
              </w:rPr>
              <w:t>%）（8+9+10）</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2.50%</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12</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满足最低资本要求后的可用核心一级资本净额占风险加权资产的比例（</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34.42%</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20.94%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13</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调整后表内外资产余额</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1289726.571</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1903779.646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14</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eastAsia="zh-CN"/>
                <w14:textFill>
                  <w14:solidFill>
                    <w14:schemeClr w14:val="tx1"/>
                  </w14:solidFill>
                </w14:textFill>
              </w:rPr>
              <w:t>杠杆率</w:t>
            </w:r>
            <w:r>
              <w:rPr>
                <w:rFonts w:hint="eastAsia" w:ascii="仿宋_GB2312" w:hAnsi="仿宋" w:eastAsia="仿宋_GB2312" w:cs="Arial Unicode MS"/>
                <w:color w:val="000000" w:themeColor="text1"/>
                <w:sz w:val="28"/>
                <w:szCs w:val="28"/>
                <w:lang w:eastAsia="zh-CN"/>
                <w14:textFill>
                  <w14:solidFill>
                    <w14:schemeClr w14:val="tx1"/>
                  </w14:solidFill>
                </w14:textFill>
              </w:rPr>
              <w:t>（</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17.75%</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11.83%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1</w:t>
            </w:r>
            <w:r>
              <w:rPr>
                <w:rFonts w:ascii="仿宋_GB2312" w:hAnsi="仿宋" w:eastAsia="仿宋_GB2312" w:cs="Arial Unicode MS"/>
                <w:color w:val="000000" w:themeColor="text1"/>
                <w:sz w:val="28"/>
                <w:szCs w:val="28"/>
                <w:lang w:eastAsia="zh-CN"/>
                <w14:textFill>
                  <w14:solidFill>
                    <w14:schemeClr w14:val="tx1"/>
                  </w14:solidFill>
                </w14:textFill>
              </w:rPr>
              <w:t>4</w:t>
            </w:r>
            <w:r>
              <w:rPr>
                <w:rFonts w:hint="eastAsia" w:ascii="仿宋_GB2312" w:hAnsi="仿宋" w:eastAsia="仿宋_GB2312" w:cs="Arial Unicode MS"/>
                <w:color w:val="000000" w:themeColor="text1"/>
                <w:sz w:val="28"/>
                <w:szCs w:val="28"/>
                <w:lang w:eastAsia="zh-CN"/>
                <w14:textFill>
                  <w14:solidFill>
                    <w14:schemeClr w14:val="tx1"/>
                  </w14:solidFill>
                </w14:textFill>
              </w:rPr>
              <w:t>a</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eastAsia="zh-CN"/>
                <w14:textFill>
                  <w14:solidFill>
                    <w14:schemeClr w14:val="tx1"/>
                  </w14:solidFill>
                </w14:textFill>
              </w:rPr>
              <w:t>杠杆率a</w:t>
            </w:r>
            <w:r>
              <w:rPr>
                <w:rFonts w:hint="eastAsia" w:ascii="仿宋_GB2312" w:hAnsi="仿宋" w:eastAsia="仿宋_GB2312" w:cs="Arial Unicode MS"/>
                <w:color w:val="000000" w:themeColor="text1"/>
                <w:sz w:val="28"/>
                <w:szCs w:val="28"/>
                <w:lang w:eastAsia="zh-CN"/>
                <w14:textFill>
                  <w14:solidFill>
                    <w14:schemeClr w14:val="tx1"/>
                  </w14:solidFill>
                </w14:textFill>
              </w:rPr>
              <w:t>（</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17.75%</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11.83%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15</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合格优质流动性资产</w:t>
            </w:r>
          </w:p>
        </w:tc>
        <w:tc>
          <w:tcPr>
            <w:tcW w:w="928" w:type="pct"/>
            <w:tcBorders>
              <w:right w:val="single" w:color="auto" w:sz="4" w:space="0"/>
            </w:tcBorders>
            <w:vAlign w:val="center"/>
          </w:tcPr>
          <w:p>
            <w:pPr>
              <w:snapToGrid w:val="0"/>
              <w:spacing w:line="480" w:lineRule="exact"/>
              <w:jc w:val="center"/>
              <w:rPr>
                <w:rFonts w:hint="default"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16</w:t>
            </w:r>
          </w:p>
        </w:tc>
        <w:tc>
          <w:tcPr>
            <w:tcW w:w="2769" w:type="pct"/>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14:textFill>
                  <w14:solidFill>
                    <w14:schemeClr w14:val="tx1"/>
                  </w14:solidFill>
                </w14:textFill>
              </w:rPr>
              <w:t>现金净流出</w:t>
            </w:r>
            <w:r>
              <w:rPr>
                <w:rFonts w:hint="eastAsia" w:ascii="仿宋_GB2312" w:hAnsi="仿宋" w:eastAsia="仿宋_GB2312" w:cs="Arial Unicode MS"/>
                <w:color w:val="000000" w:themeColor="text1"/>
                <w:sz w:val="28"/>
                <w:szCs w:val="28"/>
                <w:lang w:eastAsia="zh-CN"/>
                <w14:textFill>
                  <w14:solidFill>
                    <w14:schemeClr w14:val="tx1"/>
                  </w14:solidFill>
                </w14:textFill>
              </w:rPr>
              <w:t>量</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17</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流动性覆盖率（</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18</w:t>
            </w:r>
          </w:p>
        </w:tc>
        <w:tc>
          <w:tcPr>
            <w:tcW w:w="2769" w:type="pct"/>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14:textFill>
                  <w14:solidFill>
                    <w14:schemeClr w14:val="tx1"/>
                  </w14:solidFill>
                </w14:textFill>
              </w:rPr>
              <w:t>可用稳定资金</w:t>
            </w:r>
            <w:r>
              <w:rPr>
                <w:rFonts w:hint="eastAsia" w:ascii="仿宋_GB2312" w:hAnsi="仿宋" w:eastAsia="仿宋_GB2312" w:cs="Arial Unicode MS"/>
                <w:color w:val="000000" w:themeColor="text1"/>
                <w:sz w:val="28"/>
                <w:szCs w:val="28"/>
                <w:lang w:eastAsia="zh-CN"/>
                <w14:textFill>
                  <w14:solidFill>
                    <w14:schemeClr w14:val="tx1"/>
                  </w14:solidFill>
                </w14:textFill>
              </w:rPr>
              <w:t>合计</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19</w:t>
            </w:r>
          </w:p>
        </w:tc>
        <w:tc>
          <w:tcPr>
            <w:tcW w:w="2769" w:type="pct"/>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所需</w:t>
            </w:r>
            <w:r>
              <w:rPr>
                <w:rFonts w:hint="eastAsia" w:ascii="仿宋_GB2312" w:hAnsi="仿宋" w:eastAsia="仿宋_GB2312" w:cs="Arial Unicode MS"/>
                <w:color w:val="000000" w:themeColor="text1"/>
                <w:sz w:val="28"/>
                <w:szCs w:val="28"/>
                <w14:textFill>
                  <w14:solidFill>
                    <w14:schemeClr w14:val="tx1"/>
                  </w14:solidFill>
                </w14:textFill>
              </w:rPr>
              <w:t>稳定资金</w:t>
            </w:r>
            <w:r>
              <w:rPr>
                <w:rFonts w:hint="eastAsia" w:ascii="仿宋_GB2312" w:hAnsi="仿宋" w:eastAsia="仿宋_GB2312" w:cs="Arial Unicode MS"/>
                <w:color w:val="000000" w:themeColor="text1"/>
                <w:sz w:val="28"/>
                <w:szCs w:val="28"/>
                <w:lang w:eastAsia="zh-CN"/>
                <w14:textFill>
                  <w14:solidFill>
                    <w14:schemeClr w14:val="tx1"/>
                  </w14:solidFill>
                </w14:textFill>
              </w:rPr>
              <w:t>合计</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20</w:t>
            </w:r>
          </w:p>
        </w:tc>
        <w:tc>
          <w:tcPr>
            <w:tcW w:w="2769" w:type="pct"/>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净稳定资金比例（</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928" w:type="pct"/>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tcBorders>
              <w:left w:val="single" w:color="auto" w:sz="4" w:space="0"/>
            </w:tcBorders>
            <w:shd w:val="clear" w:color="auto" w:fill="FFFFFF"/>
            <w:vAlign w:val="center"/>
          </w:tcPr>
          <w:p>
            <w:pPr>
              <w:snapToGrid w:val="0"/>
              <w:spacing w:line="480" w:lineRule="exact"/>
              <w:jc w:val="center"/>
              <w:rPr>
                <w:rFonts w:ascii="仿宋_GB2312" w:hAnsi="仿宋" w:eastAsia="仿宋_GB2312" w:cs="Arial Unicode MS"/>
                <w:color w:val="000000" w:themeColor="text1"/>
                <w:sz w:val="28"/>
                <w:szCs w:val="28"/>
                <w:lang w:eastAsia="zh-CN"/>
                <w14:textFill>
                  <w14:solidFill>
                    <w14:schemeClr w14:val="tx1"/>
                  </w14:solidFill>
                </w14:textFill>
              </w:rPr>
            </w:pPr>
            <w:r>
              <w:rPr>
                <w:rFonts w:ascii="仿宋_GB2312" w:hAnsi="仿宋" w:eastAsia="仿宋_GB2312" w:cs="Arial Unicode MS"/>
                <w:color w:val="000000" w:themeColor="text1"/>
                <w:sz w:val="28"/>
                <w:szCs w:val="28"/>
                <w:lang w:eastAsia="zh-CN"/>
                <w14:textFill>
                  <w14:solidFill>
                    <w14:schemeClr w14:val="tx1"/>
                  </w14:solidFill>
                </w14:textFill>
              </w:rPr>
              <w:t>21</w:t>
            </w:r>
          </w:p>
        </w:tc>
        <w:tc>
          <w:tcPr>
            <w:tcW w:w="2769" w:type="pct"/>
            <w:shd w:val="clear" w:color="auto" w:fill="FFFFFF"/>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流动性比例（</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928" w:type="pct"/>
            <w:tcBorders>
              <w:right w:val="single" w:color="auto" w:sz="4" w:space="0"/>
            </w:tcBorders>
            <w:shd w:val="clear" w:color="auto" w:fill="FFFFFF"/>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73.80%</w:t>
            </w:r>
          </w:p>
        </w:tc>
        <w:tc>
          <w:tcPr>
            <w:tcW w:w="928" w:type="pct"/>
            <w:tcBorders>
              <w:right w:val="single" w:color="auto" w:sz="4" w:space="0"/>
            </w:tcBorders>
            <w:shd w:val="clear" w:color="auto" w:fill="FFFFFF"/>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77.59%</w:t>
            </w:r>
          </w:p>
        </w:tc>
      </w:tr>
    </w:tbl>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注：</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根据《商业银行流动性风险管理办法》，15-20项内容涉及的流动性覆盖率、净稳定资金比例为资产规模不小于2000亿元人民币的商业银行应达到的监管指标，本公司不适用。</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2024年一季度资本充足率、杠杆率较年初上升主要因公司贷款和存放同业规模下降所致。</w:t>
      </w:r>
      <w:bookmarkStart w:id="0" w:name="_GoBack"/>
      <w:bookmarkEnd w:id="0"/>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0"/>
    <w:family w:val="swiss"/>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81AAB6"/>
    <w:multiLevelType w:val="singleLevel"/>
    <w:tmpl w:val="7F81AAB6"/>
    <w:lvl w:ilvl="0" w:tentative="0">
      <w:start w:val="1"/>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